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5AB" w:rsidRDefault="006E25AB" w:rsidP="006E25AB">
      <w:pPr>
        <w:numPr>
          <w:ilvl w:val="0"/>
          <w:numId w:val="1"/>
        </w:numPr>
        <w:spacing w:before="24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Exploration for geothermal energy has been under way in </w:t>
      </w:r>
      <w:smartTag w:uri="urn:schemas-microsoft-com:office:smarttags" w:element="State">
        <w:smartTag w:uri="urn:schemas-microsoft-com:office:smarttags" w:element="place">
          <w:r>
            <w:rPr>
              <w:rFonts w:ascii="Arial" w:hAnsi="Arial" w:cs="Arial"/>
              <w:bCs/>
              <w:spacing w:val="-3"/>
              <w:sz w:val="22"/>
              <w:szCs w:val="22"/>
            </w:rPr>
            <w:t>Queensland</w:t>
          </w:r>
        </w:smartTag>
      </w:smartTag>
      <w:r>
        <w:rPr>
          <w:rFonts w:ascii="Arial" w:hAnsi="Arial" w:cs="Arial"/>
          <w:bCs/>
          <w:spacing w:val="-3"/>
          <w:sz w:val="22"/>
          <w:szCs w:val="22"/>
        </w:rPr>
        <w:t xml:space="preserve"> </w:t>
      </w:r>
      <w:r w:rsidR="00272EBD">
        <w:rPr>
          <w:rFonts w:ascii="Arial" w:hAnsi="Arial" w:cs="Arial"/>
          <w:bCs/>
          <w:spacing w:val="-3"/>
          <w:sz w:val="22"/>
          <w:szCs w:val="22"/>
        </w:rPr>
        <w:t xml:space="preserve">since 2005 </w:t>
      </w:r>
      <w:r>
        <w:rPr>
          <w:rFonts w:ascii="Arial" w:hAnsi="Arial" w:cs="Arial"/>
          <w:bCs/>
          <w:spacing w:val="-3"/>
          <w:sz w:val="22"/>
          <w:szCs w:val="22"/>
        </w:rPr>
        <w:t xml:space="preserve">under the </w:t>
      </w:r>
      <w:r>
        <w:rPr>
          <w:rFonts w:ascii="Arial" w:hAnsi="Arial" w:cs="Arial"/>
          <w:bCs/>
          <w:i/>
          <w:spacing w:val="-3"/>
          <w:sz w:val="22"/>
          <w:szCs w:val="22"/>
        </w:rPr>
        <w:t>Geothermal Exploration Act 2004</w:t>
      </w:r>
      <w:r>
        <w:rPr>
          <w:rFonts w:ascii="Arial" w:hAnsi="Arial" w:cs="Arial"/>
          <w:bCs/>
          <w:spacing w:val="-3"/>
          <w:sz w:val="22"/>
          <w:szCs w:val="22"/>
        </w:rPr>
        <w:t xml:space="preserve">.  </w:t>
      </w:r>
    </w:p>
    <w:p w:rsidR="00194034" w:rsidRDefault="00194034" w:rsidP="00194034">
      <w:pPr>
        <w:numPr>
          <w:ilvl w:val="0"/>
          <w:numId w:val="1"/>
        </w:numPr>
        <w:spacing w:before="240"/>
        <w:jc w:val="both"/>
        <w:rPr>
          <w:rFonts w:ascii="Arial" w:hAnsi="Arial" w:cs="Arial"/>
          <w:bCs/>
          <w:spacing w:val="-3"/>
          <w:sz w:val="22"/>
          <w:szCs w:val="22"/>
        </w:rPr>
      </w:pPr>
      <w:r>
        <w:rPr>
          <w:rFonts w:ascii="Arial" w:hAnsi="Arial" w:cs="Arial"/>
          <w:bCs/>
          <w:spacing w:val="-3"/>
          <w:sz w:val="22"/>
          <w:szCs w:val="22"/>
        </w:rPr>
        <w:t xml:space="preserve">The purpose of the </w:t>
      </w:r>
      <w:r>
        <w:rPr>
          <w:rFonts w:ascii="Arial" w:hAnsi="Arial" w:cs="Arial"/>
          <w:bCs/>
          <w:i/>
          <w:spacing w:val="-3"/>
          <w:sz w:val="22"/>
          <w:szCs w:val="22"/>
        </w:rPr>
        <w:t>Geothermal Energy Bill 2010</w:t>
      </w:r>
      <w:r>
        <w:rPr>
          <w:rFonts w:ascii="Arial" w:hAnsi="Arial" w:cs="Arial"/>
          <w:bCs/>
          <w:spacing w:val="-3"/>
          <w:sz w:val="22"/>
          <w:szCs w:val="22"/>
        </w:rPr>
        <w:t xml:space="preserve"> (the Bill) is to provide a new framework for developing the exploration and production of geothermal energy and aims to encourage the growth of this clean energy industry in </w:t>
      </w:r>
      <w:smartTag w:uri="urn:schemas-microsoft-com:office:smarttags" w:element="place">
        <w:smartTag w:uri="urn:schemas-microsoft-com:office:smarttags" w:element="State">
          <w:r>
            <w:rPr>
              <w:rFonts w:ascii="Arial" w:hAnsi="Arial" w:cs="Arial"/>
              <w:bCs/>
              <w:spacing w:val="-3"/>
              <w:sz w:val="22"/>
              <w:szCs w:val="22"/>
            </w:rPr>
            <w:t>Queensland</w:t>
          </w:r>
        </w:smartTag>
      </w:smartTag>
      <w:r>
        <w:rPr>
          <w:rFonts w:ascii="Arial" w:hAnsi="Arial" w:cs="Arial"/>
          <w:bCs/>
          <w:spacing w:val="-3"/>
          <w:sz w:val="22"/>
          <w:szCs w:val="22"/>
        </w:rPr>
        <w:t>.</w:t>
      </w:r>
    </w:p>
    <w:p w:rsidR="006E25AB" w:rsidRPr="00EE25FA" w:rsidRDefault="006E25AB" w:rsidP="006E25AB">
      <w:pPr>
        <w:numPr>
          <w:ilvl w:val="0"/>
          <w:numId w:val="1"/>
        </w:numPr>
        <w:spacing w:before="240"/>
        <w:jc w:val="both"/>
        <w:rPr>
          <w:rFonts w:ascii="Arial" w:hAnsi="Arial" w:cs="Arial"/>
          <w:bCs/>
          <w:spacing w:val="-3"/>
          <w:sz w:val="22"/>
          <w:szCs w:val="22"/>
        </w:rPr>
      </w:pPr>
      <w:r>
        <w:rPr>
          <w:rFonts w:ascii="Arial" w:hAnsi="Arial" w:cs="Arial"/>
          <w:bCs/>
          <w:spacing w:val="-3"/>
          <w:sz w:val="22"/>
          <w:szCs w:val="22"/>
        </w:rPr>
        <w:t xml:space="preserve">The Bill also contains amendments to the </w:t>
      </w:r>
      <w:r w:rsidRPr="00211447">
        <w:rPr>
          <w:rFonts w:ascii="Arial" w:hAnsi="Arial" w:cs="Arial"/>
          <w:bCs/>
          <w:i/>
          <w:spacing w:val="-3"/>
          <w:sz w:val="22"/>
          <w:szCs w:val="22"/>
        </w:rPr>
        <w:t>Mineral Resources Act 1989</w:t>
      </w:r>
      <w:r>
        <w:rPr>
          <w:rFonts w:ascii="Arial" w:hAnsi="Arial" w:cs="Arial"/>
          <w:bCs/>
          <w:i/>
          <w:spacing w:val="-3"/>
          <w:sz w:val="22"/>
          <w:szCs w:val="22"/>
        </w:rPr>
        <w:t>, Petroleum and Gas (Production and Safety) Act 2004, Petroleum Act 1923,</w:t>
      </w:r>
      <w:r>
        <w:rPr>
          <w:rFonts w:ascii="Arial" w:hAnsi="Arial" w:cs="Arial"/>
          <w:bCs/>
          <w:spacing w:val="-3"/>
          <w:sz w:val="22"/>
          <w:szCs w:val="22"/>
        </w:rPr>
        <w:t xml:space="preserve"> and</w:t>
      </w:r>
      <w:r>
        <w:rPr>
          <w:rFonts w:ascii="Arial" w:hAnsi="Arial" w:cs="Arial"/>
          <w:bCs/>
          <w:i/>
          <w:spacing w:val="-3"/>
          <w:sz w:val="22"/>
          <w:szCs w:val="22"/>
        </w:rPr>
        <w:t xml:space="preserve"> Greenhouse Gas Act 2009, Petroleum and Gas (Production and Safety) Act 2004,</w:t>
      </w:r>
      <w:r w:rsidRPr="00EE25FA">
        <w:rPr>
          <w:rFonts w:ascii="Arial" w:hAnsi="Arial" w:cs="Arial"/>
          <w:bCs/>
          <w:i/>
          <w:spacing w:val="-3"/>
          <w:sz w:val="22"/>
          <w:szCs w:val="22"/>
        </w:rPr>
        <w:t xml:space="preserve"> </w:t>
      </w:r>
      <w:r w:rsidRPr="00EE25FA">
        <w:rPr>
          <w:rFonts w:ascii="Arial" w:hAnsi="Arial" w:cs="Arial"/>
          <w:i/>
          <w:color w:val="000000"/>
          <w:sz w:val="22"/>
          <w:szCs w:val="22"/>
        </w:rPr>
        <w:t xml:space="preserve">Electricity Act 1994 </w:t>
      </w:r>
      <w:r w:rsidRPr="00EE25FA">
        <w:rPr>
          <w:rFonts w:ascii="Arial" w:hAnsi="Arial" w:cs="Arial"/>
          <w:color w:val="000000"/>
          <w:sz w:val="22"/>
          <w:szCs w:val="22"/>
        </w:rPr>
        <w:t>and</w:t>
      </w:r>
      <w:r w:rsidRPr="00EE25FA">
        <w:rPr>
          <w:rFonts w:ascii="Arial" w:hAnsi="Arial" w:cs="Arial"/>
          <w:i/>
          <w:color w:val="000000"/>
          <w:sz w:val="22"/>
          <w:szCs w:val="22"/>
        </w:rPr>
        <w:t xml:space="preserve"> </w:t>
      </w:r>
      <w:r w:rsidR="00272EBD" w:rsidRPr="00EE25FA">
        <w:rPr>
          <w:rFonts w:ascii="Arial" w:hAnsi="Arial" w:cs="Arial"/>
          <w:sz w:val="22"/>
          <w:szCs w:val="22"/>
        </w:rPr>
        <w:t xml:space="preserve">repeals the </w:t>
      </w:r>
      <w:r w:rsidR="00272EBD" w:rsidRPr="00EE25FA">
        <w:rPr>
          <w:rFonts w:ascii="Arial" w:hAnsi="Arial" w:cs="Arial"/>
          <w:i/>
          <w:sz w:val="22"/>
          <w:szCs w:val="22"/>
        </w:rPr>
        <w:t>Timber Utilisation and Marketing Act 1987.</w:t>
      </w:r>
    </w:p>
    <w:p w:rsidR="00272EBD" w:rsidRDefault="00194034" w:rsidP="00194034">
      <w:pPr>
        <w:numPr>
          <w:ilvl w:val="0"/>
          <w:numId w:val="1"/>
        </w:numPr>
        <w:spacing w:before="240"/>
        <w:jc w:val="both"/>
        <w:rPr>
          <w:rFonts w:ascii="Arial" w:hAnsi="Arial" w:cs="Arial"/>
          <w:bCs/>
          <w:spacing w:val="-3"/>
          <w:sz w:val="22"/>
          <w:szCs w:val="22"/>
        </w:rPr>
      </w:pPr>
      <w:r>
        <w:rPr>
          <w:rFonts w:ascii="Arial" w:hAnsi="Arial" w:cs="Arial"/>
          <w:bCs/>
          <w:spacing w:val="-3"/>
          <w:sz w:val="22"/>
          <w:szCs w:val="22"/>
        </w:rPr>
        <w:t>The Bill pro</w:t>
      </w:r>
      <w:r w:rsidR="00272EBD">
        <w:rPr>
          <w:rFonts w:ascii="Arial" w:hAnsi="Arial" w:cs="Arial"/>
          <w:bCs/>
          <w:spacing w:val="-3"/>
          <w:sz w:val="22"/>
          <w:szCs w:val="22"/>
        </w:rPr>
        <w:t>vides:</w:t>
      </w:r>
    </w:p>
    <w:p w:rsidR="00272EBD" w:rsidRDefault="00194034" w:rsidP="00CE7B74">
      <w:pPr>
        <w:numPr>
          <w:ilvl w:val="0"/>
          <w:numId w:val="6"/>
        </w:numPr>
        <w:spacing w:before="160"/>
        <w:ind w:hanging="340"/>
        <w:jc w:val="both"/>
        <w:rPr>
          <w:rFonts w:ascii="Arial" w:hAnsi="Arial" w:cs="Arial"/>
          <w:bCs/>
          <w:spacing w:val="-3"/>
          <w:sz w:val="22"/>
          <w:szCs w:val="22"/>
        </w:rPr>
      </w:pPr>
      <w:r>
        <w:rPr>
          <w:rFonts w:ascii="Arial" w:hAnsi="Arial" w:cs="Arial"/>
          <w:bCs/>
          <w:spacing w:val="-3"/>
          <w:sz w:val="22"/>
          <w:szCs w:val="22"/>
        </w:rPr>
        <w:t>regulat</w:t>
      </w:r>
      <w:r w:rsidR="00272EBD">
        <w:rPr>
          <w:rFonts w:ascii="Arial" w:hAnsi="Arial" w:cs="Arial"/>
          <w:bCs/>
          <w:spacing w:val="-3"/>
          <w:sz w:val="22"/>
          <w:szCs w:val="22"/>
        </w:rPr>
        <w:t>ion of</w:t>
      </w:r>
      <w:r>
        <w:rPr>
          <w:rFonts w:ascii="Arial" w:hAnsi="Arial" w:cs="Arial"/>
          <w:bCs/>
          <w:spacing w:val="-3"/>
          <w:sz w:val="22"/>
          <w:szCs w:val="22"/>
        </w:rPr>
        <w:t xml:space="preserve"> large scale production of geothermal energy as determined by a threshold mechanism.  </w:t>
      </w:r>
    </w:p>
    <w:p w:rsidR="00272EBD" w:rsidRDefault="00272EBD" w:rsidP="00CE7B74">
      <w:pPr>
        <w:numPr>
          <w:ilvl w:val="0"/>
          <w:numId w:val="6"/>
        </w:numPr>
        <w:spacing w:before="160"/>
        <w:ind w:hanging="340"/>
        <w:jc w:val="both"/>
        <w:rPr>
          <w:rFonts w:ascii="Arial" w:hAnsi="Arial" w:cs="Arial"/>
          <w:bCs/>
          <w:spacing w:val="-3"/>
          <w:sz w:val="22"/>
          <w:szCs w:val="22"/>
        </w:rPr>
      </w:pPr>
      <w:r>
        <w:rPr>
          <w:rFonts w:ascii="Arial" w:hAnsi="Arial" w:cs="Arial"/>
          <w:bCs/>
          <w:spacing w:val="-3"/>
          <w:sz w:val="22"/>
          <w:szCs w:val="22"/>
        </w:rPr>
        <w:t>stability and certainty for the renewable energy industry by allowing a maximum term of 30 years for a geothermal production lease with no limits on the number of renewals that can be made.</w:t>
      </w:r>
    </w:p>
    <w:p w:rsidR="00194034" w:rsidRDefault="00CE7B74" w:rsidP="00CE7B74">
      <w:pPr>
        <w:numPr>
          <w:ilvl w:val="0"/>
          <w:numId w:val="6"/>
        </w:numPr>
        <w:spacing w:before="160"/>
        <w:ind w:hanging="340"/>
        <w:jc w:val="both"/>
        <w:rPr>
          <w:rFonts w:ascii="Arial" w:hAnsi="Arial" w:cs="Arial"/>
          <w:bCs/>
          <w:spacing w:val="-3"/>
          <w:sz w:val="22"/>
          <w:szCs w:val="22"/>
        </w:rPr>
      </w:pPr>
      <w:r>
        <w:rPr>
          <w:rFonts w:ascii="Arial" w:hAnsi="Arial" w:cs="Arial"/>
          <w:bCs/>
          <w:spacing w:val="-3"/>
          <w:sz w:val="22"/>
          <w:szCs w:val="22"/>
        </w:rPr>
        <w:t>for</w:t>
      </w:r>
      <w:r w:rsidR="00194034">
        <w:rPr>
          <w:rFonts w:ascii="Arial" w:hAnsi="Arial" w:cs="Arial"/>
          <w:bCs/>
          <w:spacing w:val="-3"/>
          <w:sz w:val="22"/>
          <w:szCs w:val="22"/>
        </w:rPr>
        <w:t xml:space="preserve"> the turnaround of land available for exploration by requiring a geothermal exploration permit holder to relinquish part of the area of its permit after set periods of time.  </w:t>
      </w:r>
    </w:p>
    <w:p w:rsidR="00194034" w:rsidRDefault="00194034" w:rsidP="00CE7B74">
      <w:pPr>
        <w:numPr>
          <w:ilvl w:val="0"/>
          <w:numId w:val="7"/>
        </w:numPr>
        <w:spacing w:before="160"/>
        <w:ind w:hanging="340"/>
        <w:jc w:val="both"/>
        <w:rPr>
          <w:rFonts w:ascii="Arial" w:hAnsi="Arial" w:cs="Arial"/>
          <w:bCs/>
          <w:spacing w:val="-3"/>
          <w:sz w:val="22"/>
          <w:szCs w:val="22"/>
        </w:rPr>
      </w:pPr>
      <w:r>
        <w:rPr>
          <w:rFonts w:ascii="Arial" w:hAnsi="Arial" w:cs="Arial"/>
          <w:bCs/>
          <w:spacing w:val="-3"/>
          <w:sz w:val="22"/>
          <w:szCs w:val="22"/>
        </w:rPr>
        <w:t>that a geothermal exploration permit can be granted for a maximum term of five years (with renewal options) and must include a work program which includes detailed information about the activities to be carried out under the permit.</w:t>
      </w:r>
    </w:p>
    <w:p w:rsidR="00194034" w:rsidRDefault="00194034" w:rsidP="00CE7B74">
      <w:pPr>
        <w:numPr>
          <w:ilvl w:val="0"/>
          <w:numId w:val="8"/>
        </w:numPr>
        <w:spacing w:before="160"/>
        <w:ind w:hanging="340"/>
        <w:jc w:val="both"/>
        <w:rPr>
          <w:rFonts w:ascii="Arial" w:hAnsi="Arial" w:cs="Arial"/>
          <w:bCs/>
          <w:spacing w:val="-3"/>
          <w:sz w:val="22"/>
          <w:szCs w:val="22"/>
        </w:rPr>
      </w:pPr>
      <w:r>
        <w:rPr>
          <w:rFonts w:ascii="Arial" w:hAnsi="Arial" w:cs="Arial"/>
          <w:bCs/>
          <w:spacing w:val="-3"/>
          <w:sz w:val="22"/>
          <w:szCs w:val="22"/>
        </w:rPr>
        <w:t>mechanisms to allow for the exploration for and/or production of different resources on the same area of land.  This is designed to allow for the most efficient use of the State’s resources.</w:t>
      </w:r>
    </w:p>
    <w:p w:rsidR="00194034" w:rsidRDefault="00194034" w:rsidP="00194034">
      <w:pPr>
        <w:numPr>
          <w:ilvl w:val="0"/>
          <w:numId w:val="1"/>
        </w:numPr>
        <w:spacing w:before="240"/>
        <w:jc w:val="both"/>
        <w:rPr>
          <w:rFonts w:ascii="Arial" w:hAnsi="Arial" w:cs="Arial"/>
          <w:bCs/>
          <w:spacing w:val="-3"/>
          <w:sz w:val="22"/>
          <w:szCs w:val="22"/>
        </w:rPr>
      </w:pPr>
      <w:r>
        <w:rPr>
          <w:rFonts w:ascii="Arial" w:hAnsi="Arial" w:cs="Arial"/>
          <w:bCs/>
          <w:spacing w:val="-3"/>
          <w:sz w:val="22"/>
          <w:szCs w:val="22"/>
        </w:rPr>
        <w:t>The Bill also includes the Land Access Policy Framework, which recognises and clarifies the rights of resource tenure holders and landholders in relation to accessing private land for resource related activities; and also provides for compensation for land owners and occupiers whose land may be affected by any geothermal activities conducted under a geothermal production lease or exploration permit.</w:t>
      </w:r>
    </w:p>
    <w:p w:rsidR="00194034" w:rsidRPr="00272EBD" w:rsidRDefault="00194034" w:rsidP="00194034">
      <w:pPr>
        <w:numPr>
          <w:ilvl w:val="0"/>
          <w:numId w:val="1"/>
        </w:numPr>
        <w:spacing w:before="240"/>
        <w:jc w:val="both"/>
        <w:rPr>
          <w:rFonts w:ascii="Arial" w:hAnsi="Arial" w:cs="Arial"/>
          <w:bCs/>
          <w:spacing w:val="-3"/>
          <w:sz w:val="22"/>
          <w:szCs w:val="22"/>
        </w:rPr>
      </w:pPr>
      <w:r w:rsidRPr="000738A6">
        <w:rPr>
          <w:rFonts w:ascii="Arial" w:hAnsi="Arial" w:cs="Arial"/>
          <w:bCs/>
          <w:spacing w:val="-3"/>
          <w:sz w:val="22"/>
          <w:szCs w:val="22"/>
        </w:rPr>
        <w:t xml:space="preserve">The Land Access documentation that supports the Bill includes: a single statutory </w:t>
      </w:r>
      <w:r>
        <w:rPr>
          <w:rFonts w:ascii="Arial" w:hAnsi="Arial" w:cs="Arial"/>
          <w:bCs/>
          <w:spacing w:val="-3"/>
          <w:sz w:val="22"/>
          <w:szCs w:val="22"/>
        </w:rPr>
        <w:t xml:space="preserve">Land Access </w:t>
      </w:r>
      <w:r w:rsidRPr="000738A6">
        <w:rPr>
          <w:rFonts w:ascii="Arial" w:hAnsi="Arial" w:cs="Arial"/>
          <w:bCs/>
          <w:spacing w:val="-3"/>
          <w:sz w:val="22"/>
          <w:szCs w:val="22"/>
        </w:rPr>
        <w:t xml:space="preserve">Code of Conduct; and Standard Conduct and Compensation Agreement for petroleum and gas, geothermal, greenhouse gas storage and </w:t>
      </w:r>
      <w:r>
        <w:rPr>
          <w:rFonts w:ascii="Arial" w:hAnsi="Arial" w:cs="Arial"/>
          <w:bCs/>
          <w:spacing w:val="-3"/>
          <w:sz w:val="22"/>
          <w:szCs w:val="22"/>
        </w:rPr>
        <w:t xml:space="preserve">mineral </w:t>
      </w:r>
      <w:r w:rsidRPr="000738A6">
        <w:rPr>
          <w:rFonts w:ascii="Arial" w:hAnsi="Arial" w:cs="Arial"/>
          <w:bCs/>
          <w:spacing w:val="-3"/>
          <w:sz w:val="22"/>
          <w:szCs w:val="22"/>
        </w:rPr>
        <w:t xml:space="preserve">exploration activities.  </w:t>
      </w:r>
    </w:p>
    <w:p w:rsidR="00194034" w:rsidRPr="00B865B1" w:rsidRDefault="00194034" w:rsidP="00194034">
      <w:pPr>
        <w:numPr>
          <w:ilvl w:val="0"/>
          <w:numId w:val="1"/>
        </w:numPr>
        <w:spacing w:before="240"/>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u w:val="single"/>
        </w:rPr>
        <w:t xml:space="preserve"> </w:t>
      </w:r>
      <w:r>
        <w:rPr>
          <w:rFonts w:ascii="Arial" w:hAnsi="Arial" w:cs="Arial"/>
          <w:sz w:val="22"/>
          <w:szCs w:val="22"/>
        </w:rPr>
        <w:t xml:space="preserve">the </w:t>
      </w:r>
      <w:r>
        <w:rPr>
          <w:rFonts w:ascii="Arial" w:hAnsi="Arial" w:cs="Arial"/>
          <w:i/>
          <w:sz w:val="22"/>
          <w:szCs w:val="22"/>
        </w:rPr>
        <w:t>Geothermal Energy Bill 2010</w:t>
      </w:r>
      <w:r>
        <w:rPr>
          <w:rFonts w:ascii="Arial" w:hAnsi="Arial" w:cs="Arial"/>
          <w:sz w:val="22"/>
          <w:szCs w:val="22"/>
        </w:rPr>
        <w:t xml:space="preserve"> be introduced into Parliament.</w:t>
      </w:r>
    </w:p>
    <w:p w:rsidR="00272EBD" w:rsidRPr="00CE7B74" w:rsidRDefault="00194034" w:rsidP="00194034">
      <w:pPr>
        <w:numPr>
          <w:ilvl w:val="0"/>
          <w:numId w:val="1"/>
        </w:numPr>
        <w:spacing w:before="240"/>
        <w:jc w:val="both"/>
        <w:rPr>
          <w:rFonts w:ascii="Arial" w:hAnsi="Arial" w:cs="Arial"/>
          <w:bCs/>
          <w:spacing w:val="-3"/>
          <w:sz w:val="22"/>
          <w:szCs w:val="22"/>
        </w:rPr>
      </w:pPr>
      <w:r w:rsidRPr="00272EBD">
        <w:rPr>
          <w:rFonts w:ascii="Arial" w:hAnsi="Arial" w:cs="Arial"/>
          <w:i/>
          <w:sz w:val="22"/>
          <w:szCs w:val="22"/>
          <w:u w:val="single"/>
        </w:rPr>
        <w:t>Attachments</w:t>
      </w:r>
      <w:r w:rsidR="00272EBD" w:rsidRPr="00272EBD">
        <w:rPr>
          <w:rFonts w:ascii="Arial" w:hAnsi="Arial" w:cs="Arial"/>
          <w:i/>
          <w:sz w:val="22"/>
          <w:szCs w:val="22"/>
        </w:rPr>
        <w:t>:</w:t>
      </w:r>
    </w:p>
    <w:p w:rsidR="00272EBD" w:rsidRPr="00272EBD" w:rsidRDefault="0083335D" w:rsidP="00272EBD">
      <w:pPr>
        <w:numPr>
          <w:ilvl w:val="0"/>
          <w:numId w:val="4"/>
        </w:numPr>
        <w:spacing w:before="240"/>
        <w:jc w:val="both"/>
        <w:rPr>
          <w:rFonts w:ascii="Arial" w:hAnsi="Arial" w:cs="Arial"/>
          <w:bCs/>
          <w:spacing w:val="-3"/>
          <w:sz w:val="22"/>
          <w:szCs w:val="22"/>
        </w:rPr>
      </w:pPr>
      <w:hyperlink r:id="rId7" w:history="1">
        <w:r w:rsidR="00194034" w:rsidRPr="00124367">
          <w:rPr>
            <w:rStyle w:val="Hyperlink"/>
            <w:rFonts w:ascii="Arial" w:hAnsi="Arial" w:cs="Arial"/>
            <w:i/>
            <w:sz w:val="22"/>
            <w:szCs w:val="22"/>
          </w:rPr>
          <w:t xml:space="preserve">Geothermal Energy Bill 2010 </w:t>
        </w:r>
      </w:hyperlink>
    </w:p>
    <w:p w:rsidR="002639AA" w:rsidRDefault="0083335D" w:rsidP="002639AA">
      <w:pPr>
        <w:numPr>
          <w:ilvl w:val="0"/>
          <w:numId w:val="4"/>
        </w:numPr>
        <w:spacing w:before="240"/>
        <w:jc w:val="both"/>
        <w:rPr>
          <w:rFonts w:ascii="Arial" w:hAnsi="Arial" w:cs="Arial"/>
          <w:bCs/>
          <w:spacing w:val="-3"/>
          <w:sz w:val="22"/>
          <w:szCs w:val="22"/>
        </w:rPr>
      </w:pPr>
      <w:hyperlink r:id="rId8" w:history="1">
        <w:r w:rsidR="00272EBD" w:rsidRPr="00124367">
          <w:rPr>
            <w:rStyle w:val="Hyperlink"/>
            <w:rFonts w:ascii="Arial" w:hAnsi="Arial" w:cs="Arial"/>
            <w:sz w:val="22"/>
            <w:szCs w:val="22"/>
          </w:rPr>
          <w:t>E</w:t>
        </w:r>
        <w:r w:rsidR="00194034" w:rsidRPr="00124367">
          <w:rPr>
            <w:rStyle w:val="Hyperlink"/>
            <w:rFonts w:ascii="Arial" w:hAnsi="Arial" w:cs="Arial"/>
            <w:sz w:val="22"/>
            <w:szCs w:val="22"/>
          </w:rPr>
          <w:t>xplanatory notes</w:t>
        </w:r>
      </w:hyperlink>
    </w:p>
    <w:sectPr w:rsidR="002639AA" w:rsidSect="00CE7B74">
      <w:headerReference w:type="default" r:id="rId9"/>
      <w:headerReference w:type="first" r:id="rId10"/>
      <w:footerReference w:type="first" r:id="rId11"/>
      <w:pgSz w:w="11906" w:h="16838" w:code="9"/>
      <w:pgMar w:top="1701" w:right="1021" w:bottom="1021" w:left="1701" w:header="71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31C" w:rsidRDefault="00A1731C">
      <w:r>
        <w:separator/>
      </w:r>
    </w:p>
  </w:endnote>
  <w:endnote w:type="continuationSeparator" w:id="0">
    <w:p w:rsidR="00A1731C" w:rsidRDefault="00A1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04F" w:rsidRDefault="00671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31C" w:rsidRDefault="00A1731C">
      <w:r>
        <w:separator/>
      </w:r>
    </w:p>
  </w:footnote>
  <w:footnote w:type="continuationSeparator" w:id="0">
    <w:p w:rsidR="00A1731C" w:rsidRDefault="00A17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115" w:rsidRDefault="00DF4115">
    <w:pPr>
      <w:tabs>
        <w:tab w:val="left" w:pos="2464"/>
      </w:tabs>
      <w:ind w:left="108"/>
      <w:jc w:val="right"/>
      <w:rPr>
        <w:b/>
      </w:rPr>
    </w:pPr>
  </w:p>
  <w:p w:rsidR="00DF4115" w:rsidRDefault="00DF4115">
    <w:pPr>
      <w:tabs>
        <w:tab w:val="left" w:pos="2464"/>
      </w:tabs>
      <w:ind w:left="108"/>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115" w:rsidRDefault="00C03E53">
    <w:pPr>
      <w:pStyle w:val="Header"/>
      <w:ind w:firstLine="2880"/>
      <w:rPr>
        <w:rFonts w:ascii="Arial" w:hAnsi="Arial" w:cs="Arial"/>
        <w:b/>
        <w:sz w:val="22"/>
        <w:szCs w:val="22"/>
        <w:u w:val="single"/>
      </w:rPr>
    </w:pPr>
    <w:r>
      <w:rPr>
        <w:noProof/>
        <w:lang w:eastAsia="en-AU"/>
      </w:rPr>
      <w:drawing>
        <wp:anchor distT="0" distB="0" distL="114300" distR="114300" simplePos="0" relativeHeight="251657728" behindDoc="0" locked="0" layoutInCell="1" allowOverlap="1">
          <wp:simplePos x="0" y="0"/>
          <wp:positionH relativeFrom="column">
            <wp:posOffset>0</wp:posOffset>
          </wp:positionH>
          <wp:positionV relativeFrom="paragraph">
            <wp:posOffset>-290830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DF4115">
      <w:rPr>
        <w:rFonts w:ascii="Arial" w:hAnsi="Arial" w:cs="Arial"/>
        <w:b/>
        <w:sz w:val="22"/>
        <w:szCs w:val="22"/>
        <w:u w:val="single"/>
      </w:rPr>
      <w:t>Cabinet – May 2010</w:t>
    </w:r>
  </w:p>
  <w:p w:rsidR="00DF4115" w:rsidRDefault="00DF4115">
    <w:pPr>
      <w:pStyle w:val="Header"/>
      <w:spacing w:before="120"/>
      <w:rPr>
        <w:rFonts w:ascii="Arial" w:hAnsi="Arial" w:cs="Arial"/>
        <w:b/>
        <w:i/>
        <w:sz w:val="22"/>
        <w:szCs w:val="22"/>
        <w:u w:val="single"/>
      </w:rPr>
    </w:pPr>
    <w:r>
      <w:rPr>
        <w:rFonts w:ascii="Arial" w:hAnsi="Arial" w:cs="Arial"/>
        <w:b/>
        <w:i/>
        <w:sz w:val="22"/>
        <w:szCs w:val="22"/>
        <w:u w:val="single"/>
      </w:rPr>
      <w:t>Geothermal Energy Bill 2010</w:t>
    </w:r>
  </w:p>
  <w:p w:rsidR="00DF4115" w:rsidRDefault="00DF4115">
    <w:pPr>
      <w:pStyle w:val="Header"/>
      <w:spacing w:before="120"/>
      <w:rPr>
        <w:rFonts w:ascii="Arial" w:hAnsi="Arial" w:cs="Arial"/>
        <w:b/>
        <w:sz w:val="22"/>
        <w:szCs w:val="22"/>
        <w:u w:val="single"/>
      </w:rPr>
    </w:pPr>
    <w:r>
      <w:rPr>
        <w:rFonts w:ascii="Arial" w:hAnsi="Arial" w:cs="Arial"/>
        <w:b/>
        <w:sz w:val="22"/>
        <w:szCs w:val="22"/>
        <w:u w:val="single"/>
      </w:rPr>
      <w:t>Minister for Natural Resources, Mines and Energy and Minister for Trade</w:t>
    </w:r>
  </w:p>
  <w:p w:rsidR="00DF4115" w:rsidRDefault="00DF4115" w:rsidP="006E25A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A4D55"/>
    <w:multiLevelType w:val="hybridMultilevel"/>
    <w:tmpl w:val="9CA4B370"/>
    <w:lvl w:ilvl="0" w:tplc="F9CE1DA8">
      <w:start w:val="1"/>
      <w:numFmt w:val="bullet"/>
      <w:lvlText w:val=""/>
      <w:lvlJc w:val="left"/>
      <w:pPr>
        <w:tabs>
          <w:tab w:val="num" w:pos="720"/>
        </w:tabs>
        <w:ind w:left="720" w:hanging="360"/>
      </w:pPr>
      <w:rPr>
        <w:rFonts w:ascii="Symbol" w:hAnsi="Symbol" w:hint="default"/>
        <w:b w:val="0"/>
        <w:i w:val="0"/>
        <w:sz w:val="22"/>
      </w:rPr>
    </w:lvl>
    <w:lvl w:ilvl="1" w:tplc="0C090003">
      <w:start w:val="1"/>
      <w:numFmt w:val="bullet"/>
      <w:lvlText w:val=""/>
      <w:lvlJc w:val="left"/>
      <w:pPr>
        <w:tabs>
          <w:tab w:val="num" w:pos="1440"/>
        </w:tabs>
        <w:ind w:left="1440" w:hanging="360"/>
      </w:pPr>
      <w:rPr>
        <w:rFonts w:ascii="Symbol" w:hAnsi="Symbol" w:hint="default"/>
        <w:b w:val="0"/>
        <w:i w:val="0"/>
        <w:sz w:val="22"/>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 w15:restartNumberingAfterBreak="0">
    <w:nsid w:val="23ED0635"/>
    <w:multiLevelType w:val="hybridMultilevel"/>
    <w:tmpl w:val="A0124910"/>
    <w:lvl w:ilvl="0" w:tplc="24B48D42">
      <w:start w:val="1"/>
      <w:numFmt w:val="bullet"/>
      <w:lvlText w:val=""/>
      <w:lvlJc w:val="left"/>
      <w:pPr>
        <w:tabs>
          <w:tab w:val="num" w:pos="643"/>
        </w:tabs>
        <w:ind w:left="643" w:hanging="283"/>
      </w:pPr>
      <w:rPr>
        <w:rFonts w:ascii="Symbol" w:hAnsi="Symbol" w:hint="default"/>
        <w:sz w:val="20"/>
        <w:szCs w:val="20"/>
      </w:rPr>
    </w:lvl>
    <w:lvl w:ilvl="1" w:tplc="0C090003">
      <w:start w:val="1"/>
      <w:numFmt w:val="bullet"/>
      <w:lvlText w:val=""/>
      <w:lvlJc w:val="left"/>
      <w:pPr>
        <w:tabs>
          <w:tab w:val="num" w:pos="1440"/>
        </w:tabs>
        <w:ind w:left="1440" w:hanging="360"/>
      </w:pPr>
      <w:rPr>
        <w:rFonts w:ascii="Symbol" w:hAnsi="Symbol" w:hint="default"/>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 w15:restartNumberingAfterBreak="0">
    <w:nsid w:val="2B5F122A"/>
    <w:multiLevelType w:val="hybridMultilevel"/>
    <w:tmpl w:val="F4CE4AC0"/>
    <w:lvl w:ilvl="0" w:tplc="24B48D42">
      <w:start w:val="1"/>
      <w:numFmt w:val="bullet"/>
      <w:lvlText w:val=""/>
      <w:lvlJc w:val="left"/>
      <w:pPr>
        <w:tabs>
          <w:tab w:val="num" w:pos="643"/>
        </w:tabs>
        <w:ind w:left="643" w:hanging="283"/>
      </w:pPr>
      <w:rPr>
        <w:rFonts w:ascii="Symbol" w:hAnsi="Symbol" w:hint="default"/>
        <w:sz w:val="20"/>
        <w:szCs w:val="20"/>
      </w:rPr>
    </w:lvl>
    <w:lvl w:ilvl="1" w:tplc="0C090003">
      <w:start w:val="1"/>
      <w:numFmt w:val="bullet"/>
      <w:lvlText w:val=""/>
      <w:lvlJc w:val="left"/>
      <w:pPr>
        <w:tabs>
          <w:tab w:val="num" w:pos="1440"/>
        </w:tabs>
        <w:ind w:left="1440" w:hanging="360"/>
      </w:pPr>
      <w:rPr>
        <w:rFonts w:ascii="Symbol" w:hAnsi="Symbol" w:hint="default"/>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 w15:restartNumberingAfterBreak="0">
    <w:nsid w:val="47C93E69"/>
    <w:multiLevelType w:val="hybridMultilevel"/>
    <w:tmpl w:val="0800563C"/>
    <w:lvl w:ilvl="0" w:tplc="24B48D42">
      <w:start w:val="1"/>
      <w:numFmt w:val="bullet"/>
      <w:lvlText w:val=""/>
      <w:lvlJc w:val="left"/>
      <w:pPr>
        <w:tabs>
          <w:tab w:val="num" w:pos="566"/>
        </w:tabs>
        <w:ind w:left="566" w:hanging="283"/>
      </w:pPr>
      <w:rPr>
        <w:rFonts w:ascii="Symbol" w:hAnsi="Symbol" w:hint="default"/>
        <w:sz w:val="20"/>
        <w:szCs w:val="20"/>
      </w:rPr>
    </w:lvl>
    <w:lvl w:ilvl="1" w:tplc="0C090003">
      <w:start w:val="1"/>
      <w:numFmt w:val="bullet"/>
      <w:lvlText w:val=""/>
      <w:lvlJc w:val="left"/>
      <w:pPr>
        <w:tabs>
          <w:tab w:val="num" w:pos="1363"/>
        </w:tabs>
        <w:ind w:left="1363" w:hanging="360"/>
      </w:pPr>
      <w:rPr>
        <w:rFonts w:ascii="Symbol" w:hAnsi="Symbol" w:hint="default"/>
      </w:rPr>
    </w:lvl>
    <w:lvl w:ilvl="2" w:tplc="0C090005" w:tentative="1">
      <w:start w:val="1"/>
      <w:numFmt w:val="lowerRoman"/>
      <w:lvlText w:val="%3."/>
      <w:lvlJc w:val="right"/>
      <w:pPr>
        <w:tabs>
          <w:tab w:val="num" w:pos="2083"/>
        </w:tabs>
        <w:ind w:left="2083" w:hanging="180"/>
      </w:pPr>
    </w:lvl>
    <w:lvl w:ilvl="3" w:tplc="0C090001" w:tentative="1">
      <w:start w:val="1"/>
      <w:numFmt w:val="decimal"/>
      <w:lvlText w:val="%4."/>
      <w:lvlJc w:val="left"/>
      <w:pPr>
        <w:tabs>
          <w:tab w:val="num" w:pos="2803"/>
        </w:tabs>
        <w:ind w:left="2803" w:hanging="360"/>
      </w:pPr>
    </w:lvl>
    <w:lvl w:ilvl="4" w:tplc="0C090003" w:tentative="1">
      <w:start w:val="1"/>
      <w:numFmt w:val="lowerLetter"/>
      <w:lvlText w:val="%5."/>
      <w:lvlJc w:val="left"/>
      <w:pPr>
        <w:tabs>
          <w:tab w:val="num" w:pos="3523"/>
        </w:tabs>
        <w:ind w:left="3523" w:hanging="360"/>
      </w:pPr>
    </w:lvl>
    <w:lvl w:ilvl="5" w:tplc="0C090005" w:tentative="1">
      <w:start w:val="1"/>
      <w:numFmt w:val="lowerRoman"/>
      <w:lvlText w:val="%6."/>
      <w:lvlJc w:val="right"/>
      <w:pPr>
        <w:tabs>
          <w:tab w:val="num" w:pos="4243"/>
        </w:tabs>
        <w:ind w:left="4243" w:hanging="180"/>
      </w:pPr>
    </w:lvl>
    <w:lvl w:ilvl="6" w:tplc="0C090001" w:tentative="1">
      <w:start w:val="1"/>
      <w:numFmt w:val="decimal"/>
      <w:lvlText w:val="%7."/>
      <w:lvlJc w:val="left"/>
      <w:pPr>
        <w:tabs>
          <w:tab w:val="num" w:pos="4963"/>
        </w:tabs>
        <w:ind w:left="4963" w:hanging="360"/>
      </w:pPr>
    </w:lvl>
    <w:lvl w:ilvl="7" w:tplc="0C090003" w:tentative="1">
      <w:start w:val="1"/>
      <w:numFmt w:val="lowerLetter"/>
      <w:lvlText w:val="%8."/>
      <w:lvlJc w:val="left"/>
      <w:pPr>
        <w:tabs>
          <w:tab w:val="num" w:pos="5683"/>
        </w:tabs>
        <w:ind w:left="5683" w:hanging="360"/>
      </w:pPr>
    </w:lvl>
    <w:lvl w:ilvl="8" w:tplc="0C090005" w:tentative="1">
      <w:start w:val="1"/>
      <w:numFmt w:val="lowerRoman"/>
      <w:lvlText w:val="%9."/>
      <w:lvlJc w:val="right"/>
      <w:pPr>
        <w:tabs>
          <w:tab w:val="num" w:pos="6403"/>
        </w:tabs>
        <w:ind w:left="6403" w:hanging="180"/>
      </w:pPr>
    </w:lvl>
  </w:abstractNum>
  <w:abstractNum w:abstractNumId="4" w15:restartNumberingAfterBreak="0">
    <w:nsid w:val="4A917221"/>
    <w:multiLevelType w:val="hybridMultilevel"/>
    <w:tmpl w:val="56FC9938"/>
    <w:lvl w:ilvl="0" w:tplc="24B48D42">
      <w:start w:val="1"/>
      <w:numFmt w:val="bullet"/>
      <w:lvlText w:val=""/>
      <w:lvlJc w:val="left"/>
      <w:pPr>
        <w:tabs>
          <w:tab w:val="num" w:pos="566"/>
        </w:tabs>
        <w:ind w:left="566" w:hanging="283"/>
      </w:pPr>
      <w:rPr>
        <w:rFonts w:ascii="Symbol" w:hAnsi="Symbol" w:hint="default"/>
        <w:sz w:val="20"/>
        <w:szCs w:val="20"/>
      </w:rPr>
    </w:lvl>
    <w:lvl w:ilvl="1" w:tplc="0C090003">
      <w:start w:val="1"/>
      <w:numFmt w:val="bullet"/>
      <w:lvlText w:val=""/>
      <w:lvlJc w:val="left"/>
      <w:pPr>
        <w:tabs>
          <w:tab w:val="num" w:pos="1363"/>
        </w:tabs>
        <w:ind w:left="1363" w:hanging="360"/>
      </w:pPr>
      <w:rPr>
        <w:rFonts w:ascii="Symbol" w:hAnsi="Symbol" w:hint="default"/>
      </w:rPr>
    </w:lvl>
    <w:lvl w:ilvl="2" w:tplc="0C090005" w:tentative="1">
      <w:start w:val="1"/>
      <w:numFmt w:val="lowerRoman"/>
      <w:lvlText w:val="%3."/>
      <w:lvlJc w:val="right"/>
      <w:pPr>
        <w:tabs>
          <w:tab w:val="num" w:pos="2083"/>
        </w:tabs>
        <w:ind w:left="2083" w:hanging="180"/>
      </w:pPr>
    </w:lvl>
    <w:lvl w:ilvl="3" w:tplc="0C090001" w:tentative="1">
      <w:start w:val="1"/>
      <w:numFmt w:val="decimal"/>
      <w:lvlText w:val="%4."/>
      <w:lvlJc w:val="left"/>
      <w:pPr>
        <w:tabs>
          <w:tab w:val="num" w:pos="2803"/>
        </w:tabs>
        <w:ind w:left="2803" w:hanging="360"/>
      </w:pPr>
    </w:lvl>
    <w:lvl w:ilvl="4" w:tplc="0C090003" w:tentative="1">
      <w:start w:val="1"/>
      <w:numFmt w:val="lowerLetter"/>
      <w:lvlText w:val="%5."/>
      <w:lvlJc w:val="left"/>
      <w:pPr>
        <w:tabs>
          <w:tab w:val="num" w:pos="3523"/>
        </w:tabs>
        <w:ind w:left="3523" w:hanging="360"/>
      </w:pPr>
    </w:lvl>
    <w:lvl w:ilvl="5" w:tplc="0C090005" w:tentative="1">
      <w:start w:val="1"/>
      <w:numFmt w:val="lowerRoman"/>
      <w:lvlText w:val="%6."/>
      <w:lvlJc w:val="right"/>
      <w:pPr>
        <w:tabs>
          <w:tab w:val="num" w:pos="4243"/>
        </w:tabs>
        <w:ind w:left="4243" w:hanging="180"/>
      </w:pPr>
    </w:lvl>
    <w:lvl w:ilvl="6" w:tplc="0C090001" w:tentative="1">
      <w:start w:val="1"/>
      <w:numFmt w:val="decimal"/>
      <w:lvlText w:val="%7."/>
      <w:lvlJc w:val="left"/>
      <w:pPr>
        <w:tabs>
          <w:tab w:val="num" w:pos="4963"/>
        </w:tabs>
        <w:ind w:left="4963" w:hanging="360"/>
      </w:pPr>
    </w:lvl>
    <w:lvl w:ilvl="7" w:tplc="0C090003" w:tentative="1">
      <w:start w:val="1"/>
      <w:numFmt w:val="lowerLetter"/>
      <w:lvlText w:val="%8."/>
      <w:lvlJc w:val="left"/>
      <w:pPr>
        <w:tabs>
          <w:tab w:val="num" w:pos="5683"/>
        </w:tabs>
        <w:ind w:left="5683" w:hanging="360"/>
      </w:pPr>
    </w:lvl>
    <w:lvl w:ilvl="8" w:tplc="0C090005" w:tentative="1">
      <w:start w:val="1"/>
      <w:numFmt w:val="lowerRoman"/>
      <w:lvlText w:val="%9."/>
      <w:lvlJc w:val="right"/>
      <w:pPr>
        <w:tabs>
          <w:tab w:val="num" w:pos="6403"/>
        </w:tabs>
        <w:ind w:left="6403" w:hanging="180"/>
      </w:pPr>
    </w:lvl>
  </w:abstractNum>
  <w:abstractNum w:abstractNumId="5" w15:restartNumberingAfterBreak="0">
    <w:nsid w:val="4EE02B47"/>
    <w:multiLevelType w:val="hybridMultilevel"/>
    <w:tmpl w:val="2C367CDA"/>
    <w:lvl w:ilvl="0" w:tplc="0C09000F">
      <w:start w:val="10"/>
      <w:numFmt w:val="decimal"/>
      <w:pStyle w:val="CLLOnumber"/>
      <w:lvlText w:val="%1."/>
      <w:lvlJc w:val="left"/>
      <w:pPr>
        <w:tabs>
          <w:tab w:val="num" w:pos="567"/>
        </w:tabs>
        <w:ind w:left="567" w:hanging="567"/>
      </w:pPr>
      <w:rPr>
        <w:rFonts w:hint="default"/>
        <w:b w:val="0"/>
        <w:i w:val="0"/>
        <w:sz w:val="18"/>
        <w:szCs w:val="18"/>
      </w:rPr>
    </w:lvl>
    <w:lvl w:ilvl="1" w:tplc="3A7283EC">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524B21"/>
    <w:multiLevelType w:val="hybridMultilevel"/>
    <w:tmpl w:val="CD78FDFA"/>
    <w:lvl w:ilvl="0" w:tplc="24B48D42">
      <w:start w:val="1"/>
      <w:numFmt w:val="bullet"/>
      <w:lvlText w:val=""/>
      <w:lvlJc w:val="left"/>
      <w:pPr>
        <w:tabs>
          <w:tab w:val="num" w:pos="566"/>
        </w:tabs>
        <w:ind w:left="566" w:hanging="283"/>
      </w:pPr>
      <w:rPr>
        <w:rFonts w:ascii="Symbol" w:hAnsi="Symbol" w:hint="default"/>
        <w:sz w:val="20"/>
        <w:szCs w:val="20"/>
      </w:rPr>
    </w:lvl>
    <w:lvl w:ilvl="1" w:tplc="0C090003">
      <w:start w:val="1"/>
      <w:numFmt w:val="bullet"/>
      <w:lvlText w:val=""/>
      <w:lvlJc w:val="left"/>
      <w:pPr>
        <w:tabs>
          <w:tab w:val="num" w:pos="1363"/>
        </w:tabs>
        <w:ind w:left="1363" w:hanging="360"/>
      </w:pPr>
      <w:rPr>
        <w:rFonts w:ascii="Symbol" w:hAnsi="Symbol" w:hint="default"/>
      </w:rPr>
    </w:lvl>
    <w:lvl w:ilvl="2" w:tplc="0C090005" w:tentative="1">
      <w:start w:val="1"/>
      <w:numFmt w:val="lowerRoman"/>
      <w:lvlText w:val="%3."/>
      <w:lvlJc w:val="right"/>
      <w:pPr>
        <w:tabs>
          <w:tab w:val="num" w:pos="2083"/>
        </w:tabs>
        <w:ind w:left="2083" w:hanging="180"/>
      </w:pPr>
    </w:lvl>
    <w:lvl w:ilvl="3" w:tplc="0C090001" w:tentative="1">
      <w:start w:val="1"/>
      <w:numFmt w:val="decimal"/>
      <w:lvlText w:val="%4."/>
      <w:lvlJc w:val="left"/>
      <w:pPr>
        <w:tabs>
          <w:tab w:val="num" w:pos="2803"/>
        </w:tabs>
        <w:ind w:left="2803" w:hanging="360"/>
      </w:pPr>
    </w:lvl>
    <w:lvl w:ilvl="4" w:tplc="0C090003" w:tentative="1">
      <w:start w:val="1"/>
      <w:numFmt w:val="lowerLetter"/>
      <w:lvlText w:val="%5."/>
      <w:lvlJc w:val="left"/>
      <w:pPr>
        <w:tabs>
          <w:tab w:val="num" w:pos="3523"/>
        </w:tabs>
        <w:ind w:left="3523" w:hanging="360"/>
      </w:pPr>
    </w:lvl>
    <w:lvl w:ilvl="5" w:tplc="0C090005" w:tentative="1">
      <w:start w:val="1"/>
      <w:numFmt w:val="lowerRoman"/>
      <w:lvlText w:val="%6."/>
      <w:lvlJc w:val="right"/>
      <w:pPr>
        <w:tabs>
          <w:tab w:val="num" w:pos="4243"/>
        </w:tabs>
        <w:ind w:left="4243" w:hanging="180"/>
      </w:pPr>
    </w:lvl>
    <w:lvl w:ilvl="6" w:tplc="0C090001" w:tentative="1">
      <w:start w:val="1"/>
      <w:numFmt w:val="decimal"/>
      <w:lvlText w:val="%7."/>
      <w:lvlJc w:val="left"/>
      <w:pPr>
        <w:tabs>
          <w:tab w:val="num" w:pos="4963"/>
        </w:tabs>
        <w:ind w:left="4963" w:hanging="360"/>
      </w:pPr>
    </w:lvl>
    <w:lvl w:ilvl="7" w:tplc="0C090003" w:tentative="1">
      <w:start w:val="1"/>
      <w:numFmt w:val="lowerLetter"/>
      <w:lvlText w:val="%8."/>
      <w:lvlJc w:val="left"/>
      <w:pPr>
        <w:tabs>
          <w:tab w:val="num" w:pos="5683"/>
        </w:tabs>
        <w:ind w:left="5683" w:hanging="360"/>
      </w:pPr>
    </w:lvl>
    <w:lvl w:ilvl="8" w:tplc="0C090005" w:tentative="1">
      <w:start w:val="1"/>
      <w:numFmt w:val="lowerRoman"/>
      <w:lvlText w:val="%9."/>
      <w:lvlJc w:val="right"/>
      <w:pPr>
        <w:tabs>
          <w:tab w:val="num" w:pos="6403"/>
        </w:tabs>
        <w:ind w:left="6403" w:hanging="180"/>
      </w:pPr>
    </w:lvl>
  </w:abstractNum>
  <w:abstractNum w:abstractNumId="7" w15:restartNumberingAfterBreak="0">
    <w:nsid w:val="76916868"/>
    <w:multiLevelType w:val="hybridMultilevel"/>
    <w:tmpl w:val="54CA54AA"/>
    <w:lvl w:ilvl="0" w:tplc="24B48D42">
      <w:start w:val="1"/>
      <w:numFmt w:val="bullet"/>
      <w:lvlText w:val=""/>
      <w:lvlJc w:val="left"/>
      <w:pPr>
        <w:tabs>
          <w:tab w:val="num" w:pos="566"/>
        </w:tabs>
        <w:ind w:left="566" w:hanging="283"/>
      </w:pPr>
      <w:rPr>
        <w:rFonts w:ascii="Symbol" w:hAnsi="Symbol" w:hint="default"/>
        <w:sz w:val="20"/>
        <w:szCs w:val="20"/>
      </w:rPr>
    </w:lvl>
    <w:lvl w:ilvl="1" w:tplc="0C090003">
      <w:start w:val="1"/>
      <w:numFmt w:val="bullet"/>
      <w:lvlText w:val=""/>
      <w:lvlJc w:val="left"/>
      <w:pPr>
        <w:tabs>
          <w:tab w:val="num" w:pos="1363"/>
        </w:tabs>
        <w:ind w:left="1363" w:hanging="360"/>
      </w:pPr>
      <w:rPr>
        <w:rFonts w:ascii="Symbol" w:hAnsi="Symbol" w:hint="default"/>
      </w:rPr>
    </w:lvl>
    <w:lvl w:ilvl="2" w:tplc="0C090005" w:tentative="1">
      <w:start w:val="1"/>
      <w:numFmt w:val="lowerRoman"/>
      <w:lvlText w:val="%3."/>
      <w:lvlJc w:val="right"/>
      <w:pPr>
        <w:tabs>
          <w:tab w:val="num" w:pos="2083"/>
        </w:tabs>
        <w:ind w:left="2083" w:hanging="180"/>
      </w:pPr>
    </w:lvl>
    <w:lvl w:ilvl="3" w:tplc="0C090001" w:tentative="1">
      <w:start w:val="1"/>
      <w:numFmt w:val="decimal"/>
      <w:lvlText w:val="%4."/>
      <w:lvlJc w:val="left"/>
      <w:pPr>
        <w:tabs>
          <w:tab w:val="num" w:pos="2803"/>
        </w:tabs>
        <w:ind w:left="2803" w:hanging="360"/>
      </w:pPr>
    </w:lvl>
    <w:lvl w:ilvl="4" w:tplc="0C090003" w:tentative="1">
      <w:start w:val="1"/>
      <w:numFmt w:val="lowerLetter"/>
      <w:lvlText w:val="%5."/>
      <w:lvlJc w:val="left"/>
      <w:pPr>
        <w:tabs>
          <w:tab w:val="num" w:pos="3523"/>
        </w:tabs>
        <w:ind w:left="3523" w:hanging="360"/>
      </w:pPr>
    </w:lvl>
    <w:lvl w:ilvl="5" w:tplc="0C090005" w:tentative="1">
      <w:start w:val="1"/>
      <w:numFmt w:val="lowerRoman"/>
      <w:lvlText w:val="%6."/>
      <w:lvlJc w:val="right"/>
      <w:pPr>
        <w:tabs>
          <w:tab w:val="num" w:pos="4243"/>
        </w:tabs>
        <w:ind w:left="4243" w:hanging="180"/>
      </w:pPr>
    </w:lvl>
    <w:lvl w:ilvl="6" w:tplc="0C090001" w:tentative="1">
      <w:start w:val="1"/>
      <w:numFmt w:val="decimal"/>
      <w:lvlText w:val="%7."/>
      <w:lvlJc w:val="left"/>
      <w:pPr>
        <w:tabs>
          <w:tab w:val="num" w:pos="4963"/>
        </w:tabs>
        <w:ind w:left="4963" w:hanging="360"/>
      </w:pPr>
    </w:lvl>
    <w:lvl w:ilvl="7" w:tplc="0C090003" w:tentative="1">
      <w:start w:val="1"/>
      <w:numFmt w:val="lowerLetter"/>
      <w:lvlText w:val="%8."/>
      <w:lvlJc w:val="left"/>
      <w:pPr>
        <w:tabs>
          <w:tab w:val="num" w:pos="5683"/>
        </w:tabs>
        <w:ind w:left="5683" w:hanging="360"/>
      </w:pPr>
    </w:lvl>
    <w:lvl w:ilvl="8" w:tplc="0C090005" w:tentative="1">
      <w:start w:val="1"/>
      <w:numFmt w:val="lowerRoman"/>
      <w:lvlText w:val="%9."/>
      <w:lvlJc w:val="right"/>
      <w:pPr>
        <w:tabs>
          <w:tab w:val="num" w:pos="6403"/>
        </w:tabs>
        <w:ind w:left="6403" w:hanging="180"/>
      </w:pPr>
    </w:lvl>
  </w:abstractNum>
  <w:abstractNum w:abstractNumId="8" w15:restartNumberingAfterBreak="0">
    <w:nsid w:val="7F176F87"/>
    <w:multiLevelType w:val="hybridMultilevel"/>
    <w:tmpl w:val="3E8AB73C"/>
    <w:lvl w:ilvl="0" w:tplc="F9CE1DA8">
      <w:start w:val="1"/>
      <w:numFmt w:val="decimal"/>
      <w:lvlText w:val="%1."/>
      <w:lvlJc w:val="left"/>
      <w:pPr>
        <w:tabs>
          <w:tab w:val="num" w:pos="360"/>
        </w:tabs>
        <w:ind w:left="360" w:hanging="360"/>
      </w:pPr>
    </w:lvl>
    <w:lvl w:ilvl="1" w:tplc="0C090003">
      <w:start w:val="1"/>
      <w:numFmt w:val="bullet"/>
      <w:lvlText w:val=""/>
      <w:lvlJc w:val="left"/>
      <w:pPr>
        <w:tabs>
          <w:tab w:val="num" w:pos="1080"/>
        </w:tabs>
        <w:ind w:left="1080" w:hanging="360"/>
      </w:pPr>
      <w:rPr>
        <w:rFonts w:ascii="Symbol" w:hAnsi="Symbol" w:hint="default"/>
      </w:rPr>
    </w:lvl>
    <w:lvl w:ilvl="2" w:tplc="0C090005" w:tentative="1">
      <w:start w:val="1"/>
      <w:numFmt w:val="lowerRoman"/>
      <w:lvlText w:val="%3."/>
      <w:lvlJc w:val="right"/>
      <w:pPr>
        <w:tabs>
          <w:tab w:val="num" w:pos="1800"/>
        </w:tabs>
        <w:ind w:left="1800" w:hanging="180"/>
      </w:pPr>
    </w:lvl>
    <w:lvl w:ilvl="3" w:tplc="0C090001" w:tentative="1">
      <w:start w:val="1"/>
      <w:numFmt w:val="decimal"/>
      <w:lvlText w:val="%4."/>
      <w:lvlJc w:val="left"/>
      <w:pPr>
        <w:tabs>
          <w:tab w:val="num" w:pos="2520"/>
        </w:tabs>
        <w:ind w:left="2520" w:hanging="360"/>
      </w:pPr>
    </w:lvl>
    <w:lvl w:ilvl="4" w:tplc="0C090003" w:tentative="1">
      <w:start w:val="1"/>
      <w:numFmt w:val="lowerLetter"/>
      <w:lvlText w:val="%5."/>
      <w:lvlJc w:val="left"/>
      <w:pPr>
        <w:tabs>
          <w:tab w:val="num" w:pos="3240"/>
        </w:tabs>
        <w:ind w:left="3240" w:hanging="360"/>
      </w:pPr>
    </w:lvl>
    <w:lvl w:ilvl="5" w:tplc="0C090005" w:tentative="1">
      <w:start w:val="1"/>
      <w:numFmt w:val="lowerRoman"/>
      <w:lvlText w:val="%6."/>
      <w:lvlJc w:val="right"/>
      <w:pPr>
        <w:tabs>
          <w:tab w:val="num" w:pos="3960"/>
        </w:tabs>
        <w:ind w:left="3960" w:hanging="180"/>
      </w:pPr>
    </w:lvl>
    <w:lvl w:ilvl="6" w:tplc="0C090001" w:tentative="1">
      <w:start w:val="1"/>
      <w:numFmt w:val="decimal"/>
      <w:lvlText w:val="%7."/>
      <w:lvlJc w:val="left"/>
      <w:pPr>
        <w:tabs>
          <w:tab w:val="num" w:pos="4680"/>
        </w:tabs>
        <w:ind w:left="4680" w:hanging="360"/>
      </w:pPr>
    </w:lvl>
    <w:lvl w:ilvl="7" w:tplc="0C090003" w:tentative="1">
      <w:start w:val="1"/>
      <w:numFmt w:val="lowerLetter"/>
      <w:lvlText w:val="%8."/>
      <w:lvlJc w:val="left"/>
      <w:pPr>
        <w:tabs>
          <w:tab w:val="num" w:pos="5400"/>
        </w:tabs>
        <w:ind w:left="5400" w:hanging="360"/>
      </w:pPr>
    </w:lvl>
    <w:lvl w:ilvl="8" w:tplc="0C090005" w:tentative="1">
      <w:start w:val="1"/>
      <w:numFmt w:val="lowerRoman"/>
      <w:lvlText w:val="%9."/>
      <w:lvlJc w:val="right"/>
      <w:pPr>
        <w:tabs>
          <w:tab w:val="num" w:pos="6120"/>
        </w:tabs>
        <w:ind w:left="6120" w:hanging="180"/>
      </w:pPr>
    </w:lvl>
  </w:abstractNum>
  <w:num w:numId="1">
    <w:abstractNumId w:val="8"/>
  </w:num>
  <w:num w:numId="2">
    <w:abstractNumId w:val="0"/>
  </w:num>
  <w:num w:numId="3">
    <w:abstractNumId w:val="5"/>
  </w:num>
  <w:num w:numId="4">
    <w:abstractNumId w:val="1"/>
  </w:num>
  <w:num w:numId="5">
    <w:abstractNumId w:val="2"/>
  </w:num>
  <w:num w:numId="6">
    <w:abstractNumId w:val="7"/>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AA"/>
    <w:rsid w:val="00093ADB"/>
    <w:rsid w:val="000D490D"/>
    <w:rsid w:val="001120E1"/>
    <w:rsid w:val="00124367"/>
    <w:rsid w:val="00194034"/>
    <w:rsid w:val="002639AA"/>
    <w:rsid w:val="00272EBD"/>
    <w:rsid w:val="003E43C8"/>
    <w:rsid w:val="00427B34"/>
    <w:rsid w:val="005240F4"/>
    <w:rsid w:val="005363B8"/>
    <w:rsid w:val="00557FC1"/>
    <w:rsid w:val="0067104F"/>
    <w:rsid w:val="006C4EAF"/>
    <w:rsid w:val="006E25AB"/>
    <w:rsid w:val="0083335D"/>
    <w:rsid w:val="008B58D7"/>
    <w:rsid w:val="009E24E8"/>
    <w:rsid w:val="00A1731C"/>
    <w:rsid w:val="00AB437C"/>
    <w:rsid w:val="00AC2DC1"/>
    <w:rsid w:val="00C011E9"/>
    <w:rsid w:val="00C03E53"/>
    <w:rsid w:val="00CC3D5F"/>
    <w:rsid w:val="00CE2032"/>
    <w:rsid w:val="00CE7B74"/>
    <w:rsid w:val="00DF4115"/>
    <w:rsid w:val="00E16462"/>
    <w:rsid w:val="00E34D91"/>
    <w:rsid w:val="00E36C8B"/>
    <w:rsid w:val="00EA4B68"/>
    <w:rsid w:val="00EB59AF"/>
    <w:rsid w:val="00EE21DB"/>
    <w:rsid w:val="00EE25FA"/>
    <w:rsid w:val="00EE7B3A"/>
    <w:rsid w:val="00FB04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03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39AA"/>
    <w:pPr>
      <w:tabs>
        <w:tab w:val="center" w:pos="4153"/>
        <w:tab w:val="right" w:pos="8306"/>
      </w:tabs>
    </w:pPr>
  </w:style>
  <w:style w:type="paragraph" w:customStyle="1" w:styleId="CLLOBodytext">
    <w:name w:val="CLLO Body text"/>
    <w:basedOn w:val="Normal"/>
    <w:rsid w:val="002639AA"/>
    <w:pPr>
      <w:widowControl w:val="0"/>
      <w:autoSpaceDE w:val="0"/>
      <w:autoSpaceDN w:val="0"/>
      <w:spacing w:before="120" w:after="120"/>
      <w:jc w:val="both"/>
    </w:pPr>
  </w:style>
  <w:style w:type="paragraph" w:customStyle="1" w:styleId="CLLOnumber">
    <w:name w:val="CLLO number"/>
    <w:basedOn w:val="BodyTextIndent"/>
    <w:rsid w:val="002639AA"/>
    <w:pPr>
      <w:numPr>
        <w:numId w:val="3"/>
      </w:numPr>
      <w:spacing w:before="120"/>
      <w:jc w:val="both"/>
    </w:pPr>
    <w:rPr>
      <w:szCs w:val="20"/>
    </w:rPr>
  </w:style>
  <w:style w:type="paragraph" w:styleId="BodyTextIndent">
    <w:name w:val="Body Text Indent"/>
    <w:basedOn w:val="Normal"/>
    <w:rsid w:val="002639AA"/>
    <w:pPr>
      <w:spacing w:after="120"/>
      <w:ind w:left="283"/>
    </w:pPr>
  </w:style>
  <w:style w:type="paragraph" w:styleId="Footer">
    <w:name w:val="footer"/>
    <w:basedOn w:val="Normal"/>
    <w:rsid w:val="002639AA"/>
    <w:pPr>
      <w:tabs>
        <w:tab w:val="center" w:pos="4153"/>
        <w:tab w:val="right" w:pos="8306"/>
      </w:tabs>
    </w:pPr>
  </w:style>
  <w:style w:type="paragraph" w:styleId="BalloonText">
    <w:name w:val="Balloon Text"/>
    <w:basedOn w:val="Normal"/>
    <w:semiHidden/>
    <w:rsid w:val="00194034"/>
    <w:rPr>
      <w:rFonts w:ascii="Tahoma" w:hAnsi="Tahoma" w:cs="Tahoma"/>
      <w:sz w:val="16"/>
      <w:szCs w:val="16"/>
    </w:rPr>
  </w:style>
  <w:style w:type="character" w:styleId="Hyperlink">
    <w:name w:val="Hyperlink"/>
    <w:basedOn w:val="DefaultParagraphFont"/>
    <w:rsid w:val="00124367"/>
    <w:rPr>
      <w:color w:val="0000FF"/>
      <w:u w:val="single"/>
    </w:rPr>
  </w:style>
  <w:style w:type="character" w:styleId="FollowedHyperlink">
    <w:name w:val="FollowedHyperlink"/>
    <w:basedOn w:val="DefaultParagraphFont"/>
    <w:rsid w:val="00124367"/>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Geothermal%20Energy%20Bill%202010%20Explanatory%20Not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Geothermal%20Energy%20Bill%20201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2017</Characters>
  <Application>Microsoft Office Word</Application>
  <DocSecurity>0</DocSecurity>
  <Lines>35</Lines>
  <Paragraphs>15</Paragraphs>
  <ScaleCrop>false</ScaleCrop>
  <HeadingPairs>
    <vt:vector size="2" baseType="variant">
      <vt:variant>
        <vt:lpstr>Title</vt:lpstr>
      </vt:variant>
      <vt:variant>
        <vt:i4>1</vt:i4>
      </vt:variant>
    </vt:vector>
  </HeadingPairs>
  <TitlesOfParts>
    <vt:vector size="1" baseType="lpstr">
      <vt:lpstr>Geothermal Energy</vt:lpstr>
    </vt:vector>
  </TitlesOfParts>
  <Manager/>
  <Company/>
  <LinksUpToDate>false</LinksUpToDate>
  <CharactersWithSpaces>2391</CharactersWithSpaces>
  <SharedDoc>false</SharedDoc>
  <HyperlinkBase>https://www.cabinet.qld.gov.au/documents/2010/May/Geothermal Energy Bill 2010/</HyperlinkBase>
  <HLinks>
    <vt:vector size="12" baseType="variant">
      <vt:variant>
        <vt:i4>4915204</vt:i4>
      </vt:variant>
      <vt:variant>
        <vt:i4>3</vt:i4>
      </vt:variant>
      <vt:variant>
        <vt:i4>0</vt:i4>
      </vt:variant>
      <vt:variant>
        <vt:i4>5</vt:i4>
      </vt:variant>
      <vt:variant>
        <vt:lpwstr>Attachments/Geothermal Energy Bill 2010 Explanatory Notes.pdf</vt:lpwstr>
      </vt:variant>
      <vt:variant>
        <vt:lpwstr/>
      </vt:variant>
      <vt:variant>
        <vt:i4>3997806</vt:i4>
      </vt:variant>
      <vt:variant>
        <vt:i4>0</vt:i4>
      </vt:variant>
      <vt:variant>
        <vt:i4>0</vt:i4>
      </vt:variant>
      <vt:variant>
        <vt:i4>5</vt:i4>
      </vt:variant>
      <vt:variant>
        <vt:lpwstr>Attachments/Geothermal Energy Bill 2010.pdf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Geothermal Energy</dc:title>
  <dc:subject/>
  <dc:creator/>
  <cp:keywords>Energy,Geothermal,Resources,Exploration,Mining</cp:keywords>
  <dc:description/>
  <cp:lastModifiedBy/>
  <cp:revision>2</cp:revision>
  <cp:lastPrinted>2010-06-30T01:10:00Z</cp:lastPrinted>
  <dcterms:created xsi:type="dcterms:W3CDTF">2017-10-24T22:20:00Z</dcterms:created>
  <dcterms:modified xsi:type="dcterms:W3CDTF">2018-03-06T01:04:00Z</dcterms:modified>
  <cp:category>Energy,Investment,Mining,Electricity</cp:category>
</cp:coreProperties>
</file>